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1" w:rsidRPr="00AE1071" w:rsidRDefault="00A97F91" w:rsidP="00A97F91">
      <w:pPr>
        <w:spacing w:after="0"/>
        <w:rPr>
          <w:rFonts w:ascii="Arial" w:hAnsi="Arial" w:cs="Arial"/>
          <w:shd w:val="clear" w:color="auto" w:fill="F1C100"/>
        </w:rPr>
      </w:pPr>
    </w:p>
    <w:p w:rsidR="00A97F91" w:rsidRPr="00AE1071" w:rsidRDefault="00A97F91" w:rsidP="00A97F91">
      <w:pPr>
        <w:spacing w:after="0"/>
        <w:ind w:left="4536"/>
        <w:rPr>
          <w:rFonts w:ascii="Arial" w:hAnsi="Arial" w:cs="Arial"/>
        </w:rPr>
      </w:pPr>
      <w:r w:rsidRPr="00AE1071">
        <w:rPr>
          <w:rFonts w:ascii="Arial" w:hAnsi="Arial" w:cs="Arial"/>
        </w:rPr>
        <w:t>Приложение 3</w:t>
      </w:r>
    </w:p>
    <w:p w:rsidR="00A97F91" w:rsidRPr="00AE1071" w:rsidRDefault="00A97F91" w:rsidP="00A97F91">
      <w:pPr>
        <w:spacing w:after="0"/>
        <w:ind w:left="4536"/>
        <w:rPr>
          <w:rFonts w:ascii="Arial" w:hAnsi="Arial" w:cs="Arial"/>
        </w:rPr>
      </w:pPr>
      <w:r w:rsidRPr="00AE1071">
        <w:rPr>
          <w:rFonts w:ascii="Arial" w:hAnsi="Arial" w:cs="Arial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A97F91" w:rsidRPr="00AE1071" w:rsidRDefault="00A97F91" w:rsidP="00A97F91">
      <w:pPr>
        <w:spacing w:after="0"/>
        <w:ind w:left="4536"/>
        <w:rPr>
          <w:rFonts w:ascii="Arial" w:hAnsi="Arial" w:cs="Arial"/>
          <w:vertAlign w:val="superscript"/>
        </w:rPr>
      </w:pPr>
      <w:r w:rsidRPr="00AE1071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границах населенных пунктов </w:t>
      </w:r>
      <w:r w:rsidRPr="00AE1071">
        <w:rPr>
          <w:rFonts w:ascii="Arial" w:hAnsi="Arial" w:cs="Arial"/>
        </w:rPr>
        <w:t>Логовско</w:t>
      </w:r>
      <w:r>
        <w:rPr>
          <w:rFonts w:ascii="Arial" w:hAnsi="Arial" w:cs="Arial"/>
        </w:rPr>
        <w:t>го</w:t>
      </w:r>
      <w:r w:rsidRPr="00AE1071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 поселения</w:t>
      </w:r>
      <w:r w:rsidRPr="00AE1071">
        <w:rPr>
          <w:rFonts w:ascii="Arial" w:hAnsi="Arial" w:cs="Arial"/>
        </w:rPr>
        <w:t xml:space="preserve"> Калачевского муниципального района Волгоградской области </w:t>
      </w:r>
    </w:p>
    <w:p w:rsidR="00A97F91" w:rsidRPr="00AE1071" w:rsidRDefault="00A97F91" w:rsidP="00A97F91">
      <w:pPr>
        <w:pStyle w:val="ConsPlusNormal"/>
        <w:jc w:val="center"/>
        <w:rPr>
          <w:sz w:val="24"/>
          <w:szCs w:val="24"/>
          <w:shd w:val="clear" w:color="auto" w:fill="F1C100"/>
        </w:rPr>
      </w:pPr>
    </w:p>
    <w:p w:rsidR="00A97F91" w:rsidRPr="00AE1071" w:rsidRDefault="00A97F91" w:rsidP="00A97F91">
      <w:pPr>
        <w:pStyle w:val="ConsPlusNormal"/>
        <w:jc w:val="center"/>
        <w:rPr>
          <w:b/>
          <w:sz w:val="24"/>
          <w:szCs w:val="24"/>
        </w:rPr>
      </w:pPr>
    </w:p>
    <w:p w:rsidR="00A97F91" w:rsidRPr="00AE1071" w:rsidRDefault="00A97F91" w:rsidP="00A97F91">
      <w:pPr>
        <w:pStyle w:val="ConsPlusNormal"/>
        <w:rPr>
          <w:sz w:val="24"/>
          <w:szCs w:val="24"/>
          <w:shd w:val="clear" w:color="auto" w:fill="F1C100"/>
        </w:rPr>
      </w:pPr>
      <w:r w:rsidRPr="00AE1071">
        <w:rPr>
          <w:b/>
          <w:sz w:val="24"/>
          <w:szCs w:val="24"/>
        </w:rPr>
        <w:t xml:space="preserve">Перечень индикаторов риска 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 </w:t>
      </w:r>
      <w:r>
        <w:rPr>
          <w:b/>
          <w:sz w:val="24"/>
          <w:szCs w:val="24"/>
        </w:rPr>
        <w:t>границах населенных пунктов Логовского</w:t>
      </w:r>
      <w:r w:rsidRPr="00AE1071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AE1071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  <w:r w:rsidRPr="00AE1071">
        <w:rPr>
          <w:b/>
          <w:sz w:val="24"/>
          <w:szCs w:val="24"/>
        </w:rPr>
        <w:t xml:space="preserve"> Калачевского муниципального района Волгоградской области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118"/>
        <w:gridCol w:w="1871"/>
      </w:tblGrid>
      <w:tr w:rsidR="00A97F91" w:rsidRPr="00AE1071" w:rsidTr="00D72ED6">
        <w:trPr>
          <w:trHeight w:val="36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>Наименование индикатора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 xml:space="preserve">Показатель </w:t>
            </w:r>
            <w:r w:rsidRPr="00AE1071">
              <w:rPr>
                <w:rFonts w:ascii="Arial" w:hAnsi="Arial" w:cs="Arial"/>
                <w:b/>
              </w:rPr>
              <w:br/>
              <w:t>индикатора риска</w:t>
            </w:r>
          </w:p>
        </w:tc>
      </w:tr>
      <w:tr w:rsidR="00A97F91" w:rsidRPr="00AE1071" w:rsidTr="00D72ED6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t>Наличие информации о вступлении в законную силу в течение трех календарных лет, предшествующих дате определения наличия индикатора риска,15 и более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  <w:proofErr w:type="gramEnd"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 xml:space="preserve">5-10, шт. 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&lt; 5 шт. или</w:t>
            </w:r>
          </w:p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&gt; 10 шт.</w:t>
            </w:r>
          </w:p>
        </w:tc>
      </w:tr>
      <w:tr w:rsidR="00A97F91" w:rsidRPr="00AE1071" w:rsidTr="00D72ED6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t>Непредоставление</w:t>
            </w:r>
            <w:proofErr w:type="spellEnd"/>
            <w:r>
              <w:t xml:space="preserve">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нет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да</w:t>
            </w:r>
          </w:p>
        </w:tc>
      </w:tr>
      <w:tr w:rsidR="00A97F91" w:rsidRPr="00AE1071" w:rsidTr="00D72ED6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Pr="00AE1071" w:rsidRDefault="00A97F91" w:rsidP="00A97F91">
            <w:pPr>
              <w:spacing w:after="0"/>
              <w:rPr>
                <w:rFonts w:ascii="Arial" w:hAnsi="Arial" w:cs="Arial"/>
              </w:rPr>
            </w:pPr>
            <w:r>
              <w:lastRenderedPageBreak/>
              <w:t xml:space="preserve">Наличие информации о привлечении к ответственности должностных и юридических лиц по ст. 12.34 </w:t>
            </w:r>
            <w:proofErr w:type="spellStart"/>
            <w:r>
              <w:t>КоАП</w:t>
            </w:r>
            <w:proofErr w:type="spellEnd"/>
            <w:r>
              <w:t xml:space="preserve"> РФ в течение одного календарного года за нарушение правил ремонта и содержания дорог, определенных требованиями ГОСТ </w:t>
            </w:r>
            <w:proofErr w:type="gramStart"/>
            <w:r>
              <w:t>Р</w:t>
            </w:r>
            <w:proofErr w:type="gramEnd"/>
            <w:r>
              <w:t xml:space="preserve"> 50597-2017 «Дороги автомобильные и улицы. Требования к эксплуатационному состоянию, допустимому по </w:t>
            </w:r>
            <w:proofErr w:type="spellStart"/>
            <w:r>
              <w:t>условиямобеспечения</w:t>
            </w:r>
            <w:proofErr w:type="spellEnd"/>
            <w:r>
              <w:t xml:space="preserve"> безопасности дорожного движения методы контроля»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>
              <w:t xml:space="preserve"> 5-10,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Default="00A97F91" w:rsidP="00A97F91">
            <w:pPr>
              <w:spacing w:after="0"/>
              <w:jc w:val="center"/>
            </w:pPr>
          </w:p>
          <w:p w:rsidR="00A97F91" w:rsidRPr="00AE1071" w:rsidRDefault="00A97F91" w:rsidP="00A97F91">
            <w:pPr>
              <w:spacing w:after="0"/>
              <w:jc w:val="center"/>
              <w:rPr>
                <w:rFonts w:ascii="Arial" w:hAnsi="Arial" w:cs="Arial"/>
              </w:rPr>
            </w:pPr>
            <w:r>
              <w:t xml:space="preserve">&lt; 5 шт. или &gt; 10 шт. </w:t>
            </w:r>
          </w:p>
        </w:tc>
      </w:tr>
    </w:tbl>
    <w:p w:rsidR="00C761AB" w:rsidRDefault="00C761AB" w:rsidP="00A97F91">
      <w:pPr>
        <w:spacing w:after="0"/>
      </w:pPr>
    </w:p>
    <w:sectPr w:rsidR="00C7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F91"/>
    <w:rsid w:val="00A97F91"/>
    <w:rsid w:val="00C7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A97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A97F9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2023-04-25T12:16:00Z</dcterms:created>
  <dcterms:modified xsi:type="dcterms:W3CDTF">2023-04-25T12:16:00Z</dcterms:modified>
</cp:coreProperties>
</file>