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000000" w:sz="6" w:space="1"/>
        </w:pBdr>
        <w:tabs>
          <w:tab w:val="left" w:pos="993"/>
        </w:tabs>
        <w:jc w:val="right"/>
        <w:rPr>
          <w:rFonts w:hint="default" w:ascii="Arial" w:hAnsi="Arial" w:cs="Arial"/>
          <w:b/>
          <w:color w:val="000000"/>
          <w:lang w:val="ru-RU"/>
        </w:rPr>
      </w:pP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АДМИНИСТРАЦИЯ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ЛОГОВСКОГО СЕЛЬСКОГО ПОСЕЛЕНИЯ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 xml:space="preserve">Калачёвского муниципального района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aps/>
          <w:color w:val="000000"/>
        </w:rPr>
        <w:t>Волгоградской области</w:t>
      </w:r>
    </w:p>
    <w:p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</w:p>
    <w:p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ПОСТАНОВЛЕНИЕ</w:t>
      </w:r>
    </w:p>
    <w:p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</w:p>
    <w:p>
      <w:pPr>
        <w:tabs>
          <w:tab w:val="left" w:pos="993"/>
        </w:tabs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olor w:val="000000"/>
        </w:rPr>
        <w:t>от 25 июня 2020 г. № 66</w:t>
      </w:r>
    </w:p>
    <w:p>
      <w:pPr>
        <w:widowControl w:val="0"/>
        <w:suppressAutoHyphens w:val="0"/>
        <w:rPr>
          <w:rFonts w:ascii="Arial" w:hAnsi="Arial" w:cs="Arial"/>
          <w:b/>
        </w:rPr>
      </w:pPr>
    </w:p>
    <w:p>
      <w:pPr>
        <w:pStyle w:val="17"/>
        <w:jc w:val="both"/>
      </w:pPr>
      <w:bookmarkStart w:id="0" w:name="_GoBack"/>
      <w:r>
        <w:rPr>
          <w:b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 от 24.06.2019 г. № 55 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Логовского сельского поселения Калачевского муниципального района Волгоградской области , расположенных на территории Логовского сельского поселения Калачевского муниципального района Волгоградской области »</w:t>
      </w:r>
    </w:p>
    <w:bookmarkEnd w:id="0"/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lang w:eastAsia="ru-RU"/>
        </w:rPr>
        <w:t>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Федерации», У</w:t>
      </w:r>
      <w:r>
        <w:rPr>
          <w:rFonts w:ascii="Arial" w:hAnsi="Arial" w:cs="Arial"/>
        </w:rPr>
        <w:t xml:space="preserve">ставом Логовского сельского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 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spacing w:val="30"/>
        </w:rPr>
        <w:t>ПОСТАНОВЛЯЕТ</w:t>
      </w:r>
      <w:r>
        <w:rPr>
          <w:rFonts w:ascii="Arial" w:hAnsi="Arial" w:cs="Arial"/>
          <w:b/>
          <w:color w:val="000000"/>
        </w:rPr>
        <w:t>:</w:t>
      </w:r>
    </w:p>
    <w:p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Логовского сельского поселения Калачевского муниципального района Волгоградской области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расположенных на территории </w:t>
      </w:r>
      <w:r>
        <w:rPr>
          <w:rFonts w:ascii="Arial" w:hAnsi="Arial" w:cs="Arial"/>
          <w:i/>
        </w:rPr>
        <w:t>Логовского сельского поселения Калачевского муниципального района Волгоградской области»</w:t>
      </w:r>
      <w:r>
        <w:rPr>
          <w:rFonts w:ascii="Arial" w:hAnsi="Arial" w:cs="Arial"/>
        </w:rPr>
        <w:t>, утвержденный постановлением администрации Логовского сельского поселения Калачевского муниципального района Волгоградской области от 24.06.2019  № 55 следующие изменения: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1.2 дополнить подпунктом 4 следующего содержания: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«4) в целях возведения некапитальных строений, сооружений, предназначенных для осуществления товарной аквакультуры (товарного рыбоводства).»; </w:t>
      </w:r>
    </w:p>
    <w:p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2) пункт 5.3 изложить в следующей редакции:</w:t>
      </w:r>
    </w:p>
    <w:p>
      <w:pPr>
        <w:autoSpaceDE w:val="0"/>
        <w:ind w:right="-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>
      <w:pPr>
        <w:widowControl w:val="0"/>
        <w:suppressAutoHyphens w:val="0"/>
        <w:autoSpaceDE w:val="0"/>
        <w:ind w:firstLine="7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>
      <w:pPr>
        <w:widowControl w:val="0"/>
        <w:suppressAutoHyphens w:val="0"/>
        <w:autoSpaceDE w:val="0"/>
        <w:rPr>
          <w:rFonts w:ascii="Arial" w:hAnsi="Arial" w:cs="Arial"/>
        </w:rPr>
      </w:pPr>
    </w:p>
    <w:p>
      <w:pPr>
        <w:widowControl w:val="0"/>
        <w:suppressAutoHyphens w:val="0"/>
        <w:autoSpaceDE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Глава Логовского </w:t>
      </w:r>
    </w:p>
    <w:p>
      <w:pPr>
        <w:widowControl w:val="0"/>
        <w:suppressAutoHyphens w:val="0"/>
        <w:autoSpaceDE w:val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сельского поселения                                                                  Е.А.Федотов</w:t>
      </w: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2" w:right="1247" w:bottom="1134" w:left="1701" w:header="357" w:footer="476" w:gutter="0"/>
      <w:cols w:space="720" w:num="1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A7F65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55CA8"/>
    <w:rsid w:val="003611FE"/>
    <w:rsid w:val="00366222"/>
    <w:rsid w:val="00376D82"/>
    <w:rsid w:val="00385580"/>
    <w:rsid w:val="003937A2"/>
    <w:rsid w:val="00394757"/>
    <w:rsid w:val="00394AC9"/>
    <w:rsid w:val="00395476"/>
    <w:rsid w:val="003A2451"/>
    <w:rsid w:val="003A291A"/>
    <w:rsid w:val="003A656F"/>
    <w:rsid w:val="003A74CD"/>
    <w:rsid w:val="003A7863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21A2"/>
    <w:rsid w:val="00645A58"/>
    <w:rsid w:val="00657794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D6556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87F7C"/>
    <w:rsid w:val="0079131E"/>
    <w:rsid w:val="0079167D"/>
    <w:rsid w:val="00791CA0"/>
    <w:rsid w:val="00796E83"/>
    <w:rsid w:val="007A035B"/>
    <w:rsid w:val="007A21E1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5F4D"/>
    <w:rsid w:val="00907016"/>
    <w:rsid w:val="009155BE"/>
    <w:rsid w:val="00920335"/>
    <w:rsid w:val="00920F2B"/>
    <w:rsid w:val="009221BD"/>
    <w:rsid w:val="009222C9"/>
    <w:rsid w:val="009227AE"/>
    <w:rsid w:val="00937414"/>
    <w:rsid w:val="009379E8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1AAA"/>
    <w:rsid w:val="009E6F77"/>
    <w:rsid w:val="00A145CF"/>
    <w:rsid w:val="00A146E2"/>
    <w:rsid w:val="00A14D36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5147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300B4"/>
    <w:rsid w:val="00D3247E"/>
    <w:rsid w:val="00D32FA4"/>
    <w:rsid w:val="00D3751A"/>
    <w:rsid w:val="00D438E3"/>
    <w:rsid w:val="00D53C88"/>
    <w:rsid w:val="00D63A42"/>
    <w:rsid w:val="00D65A6B"/>
    <w:rsid w:val="00D662E0"/>
    <w:rsid w:val="00D7208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4812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47F8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  <w:rsid w:val="00FF7ACB"/>
    <w:rsid w:val="42E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paragraph" w:styleId="4">
    <w:name w:val="footnote text"/>
    <w:basedOn w:val="1"/>
    <w:semiHidden/>
    <w:uiPriority w:val="0"/>
    <w:rPr>
      <w:sz w:val="20"/>
      <w:szCs w:val="20"/>
      <w:lang w:eastAsia="ar-SA"/>
    </w:rPr>
  </w:style>
  <w:style w:type="paragraph" w:styleId="5">
    <w:name w:val="header"/>
    <w:basedOn w:val="1"/>
    <w:uiPriority w:val="0"/>
    <w:pPr>
      <w:tabs>
        <w:tab w:val="center" w:pos="4677"/>
        <w:tab w:val="right" w:pos="9355"/>
      </w:tabs>
    </w:pPr>
  </w:style>
  <w:style w:type="character" w:styleId="7">
    <w:name w:val="footnote reference"/>
    <w:basedOn w:val="6"/>
    <w:semiHidden/>
    <w:uiPriority w:val="0"/>
    <w:rPr>
      <w:vertAlign w:val="superscript"/>
    </w:rPr>
  </w:style>
  <w:style w:type="character" w:styleId="8">
    <w:name w:val="Hyperlink"/>
    <w:basedOn w:val="6"/>
    <w:uiPriority w:val="0"/>
    <w:rPr>
      <w:color w:val="0000FF"/>
      <w:u w:val="none"/>
    </w:rPr>
  </w:style>
  <w:style w:type="character" w:styleId="9">
    <w:name w:val="page number"/>
    <w:basedOn w:val="6"/>
    <w:uiPriority w:val="0"/>
  </w:style>
  <w:style w:type="paragraph" w:customStyle="1" w:styleId="11">
    <w:name w:val="ConsPlusNormal"/>
    <w:link w:val="16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2">
    <w:name w:val="EmailStyle19"/>
    <w:basedOn w:val="6"/>
    <w:semiHidden/>
    <w:uiPriority w:val="0"/>
    <w:rPr>
      <w:rFonts w:ascii="Arial" w:hAnsi="Arial" w:cs="Arial"/>
      <w:color w:val="auto"/>
      <w:sz w:val="20"/>
      <w:szCs w:val="20"/>
    </w:rPr>
  </w:style>
  <w:style w:type="paragraph" w:customStyle="1" w:styleId="13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4">
    <w:name w:val="Нижний колонтитул Знак"/>
    <w:link w:val="3"/>
    <w:uiPriority w:val="0"/>
    <w:rPr>
      <w:sz w:val="24"/>
      <w:szCs w:val="24"/>
      <w:lang w:val="ru-RU" w:eastAsia="zh-CN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character" w:customStyle="1" w:styleId="16">
    <w:name w:val="ConsPlusNormal Знак"/>
    <w:link w:val="11"/>
    <w:locked/>
    <w:uiPriority w:val="0"/>
    <w:rPr>
      <w:rFonts w:ascii="Arial" w:hAnsi="Arial" w:cs="Arial"/>
      <w:lang w:val="ru-RU" w:eastAsia="ru-RU" w:bidi="ar-SA"/>
    </w:rPr>
  </w:style>
  <w:style w:type="paragraph" w:customStyle="1" w:styleId="17">
    <w:name w:val="ConsPlusCel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400</Words>
  <Characters>2283</Characters>
  <Lines>19</Lines>
  <Paragraphs>5</Paragraphs>
  <TotalTime>1</TotalTime>
  <ScaleCrop>false</ScaleCrop>
  <LinksUpToDate>false</LinksUpToDate>
  <CharactersWithSpaces>2678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2020-06-29T05:19:00Z</dcterms:created>
  <dc:creator>N_vazhnova</dc:creator>
  <cp:lastModifiedBy>prokh</cp:lastModifiedBy>
  <cp:lastPrinted>2020-06-26T14:04:00Z</cp:lastPrinted>
  <dcterms:modified xsi:type="dcterms:W3CDTF">2020-07-02T18:14:41Z</dcterms:modified>
  <dc:title>Модельный муниципальный правовой акт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