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D8" w:rsidRPr="00D377F3" w:rsidRDefault="00BE31D8" w:rsidP="00BE31D8">
      <w:pPr>
        <w:pStyle w:val="4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АДМИНИСТРАЦИЯ</w:t>
      </w:r>
    </w:p>
    <w:p w:rsidR="00BE31D8" w:rsidRPr="00D377F3" w:rsidRDefault="00BE31D8" w:rsidP="00BE3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BE31D8" w:rsidRPr="00D377F3" w:rsidRDefault="00BE31D8" w:rsidP="00BE31D8">
      <w:pPr>
        <w:pStyle w:val="3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 xml:space="preserve">  КАЛАЧЁВСКОГО МУНИЦИПАЛЬНОГО РАЙОНА    </w:t>
      </w:r>
    </w:p>
    <w:p w:rsidR="00BE31D8" w:rsidRPr="00D377F3" w:rsidRDefault="00BE31D8" w:rsidP="00BE31D8">
      <w:pPr>
        <w:pStyle w:val="3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E31D8" w:rsidRPr="00D377F3" w:rsidRDefault="00BE31D8" w:rsidP="00BE31D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5"/>
      </w:tblGrid>
      <w:tr w:rsidR="00BE31D8" w:rsidRPr="00D377F3" w:rsidTr="00416272">
        <w:trPr>
          <w:trHeight w:val="126"/>
        </w:trPr>
        <w:tc>
          <w:tcPr>
            <w:tcW w:w="94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31D8" w:rsidRPr="00D377F3" w:rsidRDefault="00BE31D8" w:rsidP="00BE31D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E31D8" w:rsidRPr="00D377F3" w:rsidRDefault="00BE31D8" w:rsidP="00BE31D8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D377F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E31D8" w:rsidRPr="00D377F3" w:rsidRDefault="00BE31D8" w:rsidP="00BE31D8">
      <w:pPr>
        <w:tabs>
          <w:tab w:val="left" w:pos="-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1D8" w:rsidRPr="00D377F3" w:rsidRDefault="00D377F3" w:rsidP="00BE31D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377F3">
        <w:rPr>
          <w:rFonts w:ascii="Arial" w:hAnsi="Arial" w:cs="Arial"/>
          <w:color w:val="000000"/>
          <w:sz w:val="24"/>
          <w:szCs w:val="24"/>
        </w:rPr>
        <w:t>О</w:t>
      </w:r>
      <w:r w:rsidR="00EE5CEB">
        <w:rPr>
          <w:rFonts w:ascii="Arial" w:hAnsi="Arial" w:cs="Arial"/>
          <w:color w:val="000000"/>
          <w:sz w:val="24"/>
          <w:szCs w:val="24"/>
        </w:rPr>
        <w:t xml:space="preserve">т  14 октября   </w:t>
      </w:r>
      <w:r w:rsidR="00BE31D8" w:rsidRPr="00D377F3">
        <w:rPr>
          <w:rFonts w:ascii="Arial" w:hAnsi="Arial" w:cs="Arial"/>
          <w:color w:val="000000"/>
          <w:sz w:val="24"/>
          <w:szCs w:val="24"/>
        </w:rPr>
        <w:t>2016  г.   №  94</w:t>
      </w:r>
    </w:p>
    <w:p w:rsidR="00BE31D8" w:rsidRPr="00D377F3" w:rsidRDefault="00BE31D8" w:rsidP="00BE31D8">
      <w:pPr>
        <w:spacing w:after="0"/>
        <w:rPr>
          <w:rFonts w:ascii="Arial" w:hAnsi="Arial" w:cs="Arial"/>
          <w:sz w:val="24"/>
          <w:szCs w:val="24"/>
        </w:rPr>
      </w:pPr>
    </w:p>
    <w:p w:rsidR="00BE31D8" w:rsidRPr="00D377F3" w:rsidRDefault="00BE31D8" w:rsidP="00BE3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 xml:space="preserve">о порядке выжигания сухой травянистой растительности </w:t>
      </w:r>
    </w:p>
    <w:p w:rsidR="00BE31D8" w:rsidRPr="00D377F3" w:rsidRDefault="00BE31D8" w:rsidP="00BE3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на территории Логовского сельского поселения</w:t>
      </w:r>
    </w:p>
    <w:p w:rsidR="00BE31D8" w:rsidRPr="00D377F3" w:rsidRDefault="00BE31D8" w:rsidP="00BE31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31D8" w:rsidRPr="00D377F3" w:rsidRDefault="00BE31D8" w:rsidP="00BE31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377F3">
        <w:rPr>
          <w:rFonts w:ascii="Arial" w:hAnsi="Arial" w:cs="Arial"/>
          <w:sz w:val="24"/>
          <w:szCs w:val="24"/>
        </w:rPr>
        <w:t>В целях предотвращения пожаров, связанных с неконтролируемыми выжиганиями сухой травянистой растительности на территории Логовского сельского поселения,</w:t>
      </w:r>
      <w:r w:rsidRPr="00D377F3">
        <w:rPr>
          <w:rFonts w:ascii="Arial" w:hAnsi="Arial" w:cs="Arial"/>
          <w:b/>
          <w:sz w:val="24"/>
          <w:szCs w:val="24"/>
        </w:rPr>
        <w:t xml:space="preserve"> </w:t>
      </w:r>
      <w:r w:rsidRPr="00D377F3">
        <w:rPr>
          <w:rFonts w:ascii="Arial" w:hAnsi="Arial" w:cs="Arial"/>
          <w:sz w:val="24"/>
          <w:szCs w:val="24"/>
        </w:rPr>
        <w:t>в соответствии 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D377F3">
        <w:rPr>
          <w:rFonts w:ascii="Arial" w:hAnsi="Arial" w:cs="Arial"/>
          <w:sz w:val="24"/>
          <w:szCs w:val="24"/>
        </w:rPr>
        <w:t xml:space="preserve"> Федерации», постановлением Правительства Российской Федерации от 25 апреля 2012 года № 390 «О противопожарном режиме», руководствуясь  Уставом Логовского сельского поселения,</w:t>
      </w:r>
    </w:p>
    <w:p w:rsidR="00BE31D8" w:rsidRPr="00D377F3" w:rsidRDefault="00BE31D8" w:rsidP="00BE31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31D8" w:rsidRPr="00D377F3" w:rsidRDefault="00BE31D8" w:rsidP="00BE31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ПОСТАНОВЛЯЮ:</w:t>
      </w:r>
    </w:p>
    <w:p w:rsidR="00BE31D8" w:rsidRPr="00D377F3" w:rsidRDefault="00BE31D8" w:rsidP="00BE31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31D8" w:rsidRPr="00D377F3" w:rsidRDefault="00BE31D8" w:rsidP="00BE31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1.Запретить на территории Логовского сельского поселения, за исключением случаев, установленных действующим законодательством:</w:t>
      </w:r>
    </w:p>
    <w:p w:rsidR="00BE31D8" w:rsidRPr="00D377F3" w:rsidRDefault="00BE31D8" w:rsidP="00BE31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а) несанкционированное выжигание сухой травянистой растительности;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б) выжигание сухой травянистой растительности, стерни, пожнивных остатков на землях сельскохозяйственного назначения, разведение костров               на полях;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в) 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дорог, полосах отвода и охранных зонах железных дорог, путепроводов и продуктопроводов;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г) выжигание сухой растительности, в том числе при проведении профилактических отжигов: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в период установления особого противопожарного режима;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при наличии на земельном участке лесных насаждений;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2. Утвердить Порядок проведения выжиганий сухой травянистой растительности на территории Логовского сельского поселения согласно приложению к настоящему постановлению.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4. Основными информационными источниками о пожарах, связанными              с палами сухой растительности считать: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а) оперативные данные космического мониторинга МЧС России, как оперативные данные о местонахождении термических точек и их местоположение относительно населенных пунктов и объектов инфраструктуры;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в) данные наземного патрулирования силами межведомственной оперативной группы Логовского сельского поселения;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lastRenderedPageBreak/>
        <w:t>г) данные наблюдений и наземного патрулирования силами собственников и арендаторов земельных участков;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377F3">
        <w:rPr>
          <w:rFonts w:ascii="Arial" w:hAnsi="Arial" w:cs="Arial"/>
          <w:sz w:val="24"/>
          <w:szCs w:val="24"/>
        </w:rPr>
        <w:t>д</w:t>
      </w:r>
      <w:proofErr w:type="spellEnd"/>
      <w:r w:rsidRPr="00D377F3">
        <w:rPr>
          <w:rFonts w:ascii="Arial" w:hAnsi="Arial" w:cs="Arial"/>
          <w:sz w:val="24"/>
          <w:szCs w:val="24"/>
        </w:rPr>
        <w:t>) информацию, полученную от граждан.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5. Информация об обнаружении очагов пожаров, связанных с палами сухой растительности, доводится специалистом администрации: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1) незамедлительно – в диспетчерскую службу ПЧ-70;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2)  в дальнейшем – до главы Логовского сельского поселения, в территориальное подразделение Государственного пожарного надзора (далее – ГПН) и собственникам (арендаторам) земельных участков, на которых обнаружены очаги возгорания;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3) при необходимости – иным ведомствам, органам исполнительной власти и организациям - в соответствии с соглашениями об информационном взаимодействии и иными нормативными документами.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6. Состав межведомственных оперативных групп утверждается решением КЧС и ПБ Логовского сельского поселения исходя из складывающейся обстановки.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7F3">
        <w:rPr>
          <w:rFonts w:ascii="Arial" w:hAnsi="Arial" w:cs="Arial"/>
          <w:sz w:val="24"/>
          <w:szCs w:val="24"/>
        </w:rPr>
        <w:t xml:space="preserve">В состав межведомственной оперативной группы включаются: председатель КЧС и ПБ, специалист администрации Логовского сельского поселения,  ответственный за ПБ муниципального образования, председатель ТАК поселения, по согласованию, сотрудники ПЧ-70 и МВД России по Волгоградской области в </w:t>
      </w:r>
      <w:proofErr w:type="spellStart"/>
      <w:r w:rsidRPr="00D377F3">
        <w:rPr>
          <w:rFonts w:ascii="Arial" w:hAnsi="Arial" w:cs="Arial"/>
          <w:sz w:val="24"/>
          <w:szCs w:val="24"/>
        </w:rPr>
        <w:t>Калачевском</w:t>
      </w:r>
      <w:proofErr w:type="spellEnd"/>
      <w:r w:rsidRPr="00D377F3">
        <w:rPr>
          <w:rFonts w:ascii="Arial" w:hAnsi="Arial" w:cs="Arial"/>
          <w:sz w:val="24"/>
          <w:szCs w:val="24"/>
        </w:rPr>
        <w:t xml:space="preserve"> районе, а также представитель собственников и арендаторов земель, осуществляющих свою деятельность на территории Логовского сельского поселения.</w:t>
      </w:r>
      <w:proofErr w:type="gramEnd"/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7. Основными задачами межведомственной оперативной группы являются: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обнаружение пожаров, связанных с палами травы, по ходу маршрута патрулирования и сообщение о них в ПЧ 70;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тушение мелких очагов пожаров, обнаруженных в ходе патрулирования;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выявление и пресечение нарушений правил пожарной безопасности;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анализ причин ухудшения пожарной обстановки, связанной                              с несанкционированными палами сухой травянистой растительности, а также подготовка предложений для принятия решений КЧС и ПБ Логовского сельского поселения по вопросам соблюдения требований пожарной безопасности.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8. В случае ухудшения пожарной обстановки, связанной                                       с несанкционированными палами сухой травы: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1)  главе администрации, председателю КЧС и ПБ Логовского сельского поселения: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устанавливать дополнительные требования пожарной безопасности              на территории сельского поселения;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для ежедневного мониторинга пожарной обстановки формировать межведомственную оперативную группу Логовского сельского поселения;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77F3">
        <w:rPr>
          <w:rFonts w:ascii="Arial" w:hAnsi="Arial" w:cs="Arial"/>
          <w:sz w:val="24"/>
          <w:szCs w:val="24"/>
        </w:rPr>
        <w:t>- организовывать систематическое (не реже 2 раз в месяц) информирование население через средства массовой информации, а также посредством собраний, сходов граждан, совещаний с собственниками земельных участков и руководителями организаций о порядке выжигания сухой травянистой растительности, а также о запрете несанкционированного выжигания сухой травянистой растительности;</w:t>
      </w:r>
      <w:proofErr w:type="gramEnd"/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инициировать введение особого противопожарного режима                              в связи с повышением пожарной опасности на территории Логовского сельского поселения;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D377F3">
        <w:rPr>
          <w:rFonts w:ascii="Arial" w:hAnsi="Arial" w:cs="Arial"/>
          <w:sz w:val="24"/>
          <w:szCs w:val="24"/>
        </w:rPr>
        <w:t xml:space="preserve">2) руководителям организаций (предприятий, учреждений) рекомендовать организацию круглосуточного дежурства добровольных пожарных, а также работников организаций для выявления случаев и ликвидации горения сухой </w:t>
      </w:r>
      <w:r w:rsidRPr="00D377F3">
        <w:rPr>
          <w:rFonts w:ascii="Arial" w:hAnsi="Arial" w:cs="Arial"/>
          <w:sz w:val="24"/>
          <w:szCs w:val="24"/>
        </w:rPr>
        <w:lastRenderedPageBreak/>
        <w:t>травы с применением пожарной и иной техники, приспособленной для тушения пожаров.</w:t>
      </w:r>
    </w:p>
    <w:p w:rsidR="00BE31D8" w:rsidRPr="00D377F3" w:rsidRDefault="00BE31D8" w:rsidP="00BE31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9. Рекомендовать жителям Логовского сельского поселения уделять особое внимание выявлению фактов сжигания сухой травы и лиц, совершивших поджоги, о чем информировать администрацию сельского поселения, диспетчера ПЧ-70 по телефонам 01 или 43-1-02.</w:t>
      </w:r>
    </w:p>
    <w:p w:rsidR="00BE31D8" w:rsidRPr="00D377F3" w:rsidRDefault="00BE31D8" w:rsidP="00BE31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D377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77F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    на заместителя главы администрации Логовского сельского поселения И.В.Куликову.</w:t>
      </w:r>
    </w:p>
    <w:p w:rsidR="00BE31D8" w:rsidRPr="00D377F3" w:rsidRDefault="00BE31D8" w:rsidP="00BE31D8">
      <w:pPr>
        <w:pStyle w:val="ConsPlusTitle"/>
        <w:tabs>
          <w:tab w:val="left" w:pos="0"/>
        </w:tabs>
        <w:jc w:val="both"/>
        <w:outlineLvl w:val="0"/>
        <w:rPr>
          <w:rFonts w:ascii="Arial" w:hAnsi="Arial" w:cs="Arial"/>
          <w:b w:val="0"/>
          <w:u w:val="single"/>
        </w:rPr>
      </w:pPr>
      <w:r w:rsidRPr="00D377F3">
        <w:rPr>
          <w:rFonts w:ascii="Arial" w:hAnsi="Arial" w:cs="Arial"/>
          <w:b w:val="0"/>
        </w:rPr>
        <w:tab/>
        <w:t>12.</w:t>
      </w:r>
      <w:r w:rsidRPr="00D377F3">
        <w:rPr>
          <w:rFonts w:ascii="Arial" w:hAnsi="Arial" w:cs="Arial"/>
        </w:rPr>
        <w:t xml:space="preserve">  </w:t>
      </w:r>
      <w:r w:rsidRPr="00D377F3">
        <w:rPr>
          <w:rFonts w:ascii="Arial" w:hAnsi="Arial" w:cs="Arial"/>
          <w:b w:val="0"/>
        </w:rPr>
        <w:t>Настоящее постановление вступает в силу со дня его официального опубликования.</w:t>
      </w:r>
    </w:p>
    <w:p w:rsidR="00BE31D8" w:rsidRPr="00D377F3" w:rsidRDefault="00BE31D8" w:rsidP="00BE31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E31D8" w:rsidRPr="00D377F3" w:rsidRDefault="00BE31D8" w:rsidP="00BE31D8">
      <w:pPr>
        <w:pStyle w:val="Style6"/>
        <w:widowControl/>
        <w:spacing w:line="298" w:lineRule="exact"/>
        <w:rPr>
          <w:rStyle w:val="FontStyle14"/>
          <w:rFonts w:ascii="Arial" w:hAnsi="Arial" w:cs="Arial"/>
        </w:rPr>
      </w:pPr>
    </w:p>
    <w:p w:rsidR="00BE31D8" w:rsidRPr="00D377F3" w:rsidRDefault="00BE31D8" w:rsidP="00BE31D8">
      <w:pPr>
        <w:spacing w:after="0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Глава Логовского</w:t>
      </w:r>
    </w:p>
    <w:p w:rsidR="00BE31D8" w:rsidRPr="00D377F3" w:rsidRDefault="00BE31D8" w:rsidP="00BE31D8">
      <w:pPr>
        <w:spacing w:after="0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F3" w:rsidRPr="00D377F3" w:rsidRDefault="00D377F3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31D8" w:rsidRDefault="00BE31D8" w:rsidP="00BE31D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77F3" w:rsidRPr="00D377F3" w:rsidRDefault="00D377F3" w:rsidP="00BE31D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BE31D8" w:rsidRPr="00D377F3" w:rsidRDefault="00D377F3" w:rsidP="00BE31D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BE31D8" w:rsidRPr="00D377F3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BE31D8" w:rsidRPr="00D377F3"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BE31D8" w:rsidRPr="00D377F3" w:rsidRDefault="00BE31D8" w:rsidP="00BE31D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от 14 ноября   2016 г. № 94</w:t>
      </w:r>
    </w:p>
    <w:p w:rsidR="00BE31D8" w:rsidRPr="00D377F3" w:rsidRDefault="00BE31D8" w:rsidP="00BE3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Порядок</w:t>
      </w: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проведения выжиганий сухой травянистой растительности на территории Логовского сельского поселения</w:t>
      </w:r>
    </w:p>
    <w:p w:rsidR="00BE31D8" w:rsidRPr="00D377F3" w:rsidRDefault="00BE31D8" w:rsidP="00BE31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31D8" w:rsidRPr="00D377F3" w:rsidRDefault="00BE31D8" w:rsidP="00D377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  <w:lang w:val="en-US"/>
        </w:rPr>
        <w:t>I</w:t>
      </w:r>
      <w:r w:rsidRPr="00D377F3">
        <w:rPr>
          <w:rFonts w:ascii="Arial" w:hAnsi="Arial" w:cs="Arial"/>
          <w:b/>
          <w:sz w:val="24"/>
          <w:szCs w:val="24"/>
        </w:rPr>
        <w:t>. Общие положения</w:t>
      </w:r>
    </w:p>
    <w:p w:rsidR="00BE31D8" w:rsidRPr="00D377F3" w:rsidRDefault="00BE31D8" w:rsidP="00BE31D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7F3">
        <w:rPr>
          <w:rFonts w:ascii="Arial" w:hAnsi="Arial" w:cs="Arial"/>
          <w:sz w:val="24"/>
          <w:szCs w:val="24"/>
        </w:rPr>
        <w:t>Настоящий Порядок проведения выжиганий сухой травянистой растительности на территории Логовского сельского поселения (далее - Порядок) устанавливает правила проведения выжиганий сухой травянистой растительности на территории Логовского сельского поселения (далее – профилактические отжиги), за исключением случаев, установленных действующим законодательством Российской Федерации, и направлен на создание условий обеспечения пожарной безопасности при проведении данного вида пожароопасных работ на земельных участках (за исключением участков, находящихся на торфяных</w:t>
      </w:r>
      <w:proofErr w:type="gramEnd"/>
      <w:r w:rsidRPr="00D377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77F3">
        <w:rPr>
          <w:rFonts w:ascii="Arial" w:hAnsi="Arial" w:cs="Arial"/>
          <w:sz w:val="24"/>
          <w:szCs w:val="24"/>
        </w:rPr>
        <w:t>почвах)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не отнесённых в установленном порядке к землям лесного фонда.</w:t>
      </w:r>
      <w:proofErr w:type="gramEnd"/>
    </w:p>
    <w:p w:rsidR="00BE31D8" w:rsidRPr="00D377F3" w:rsidRDefault="00BE31D8" w:rsidP="00BE3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2. Целью проведения профилактических отжигов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травянистой растительности.</w:t>
      </w:r>
    </w:p>
    <w:p w:rsidR="00BE31D8" w:rsidRPr="00D377F3" w:rsidRDefault="00BE31D8" w:rsidP="00D377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  <w:lang w:val="en-US"/>
        </w:rPr>
        <w:t>II</w:t>
      </w:r>
      <w:r w:rsidRPr="00D377F3">
        <w:rPr>
          <w:rFonts w:ascii="Arial" w:hAnsi="Arial" w:cs="Arial"/>
          <w:b/>
          <w:sz w:val="24"/>
          <w:szCs w:val="24"/>
        </w:rPr>
        <w:t xml:space="preserve">. Порядок организации </w:t>
      </w:r>
      <w:proofErr w:type="gramStart"/>
      <w:r w:rsidRPr="00D377F3">
        <w:rPr>
          <w:rFonts w:ascii="Arial" w:hAnsi="Arial" w:cs="Arial"/>
          <w:b/>
          <w:sz w:val="24"/>
          <w:szCs w:val="24"/>
        </w:rPr>
        <w:t>проведения  профилактических</w:t>
      </w:r>
      <w:proofErr w:type="gramEnd"/>
      <w:r w:rsidRPr="00D377F3">
        <w:rPr>
          <w:rFonts w:ascii="Arial" w:hAnsi="Arial" w:cs="Arial"/>
          <w:b/>
          <w:sz w:val="24"/>
          <w:szCs w:val="24"/>
        </w:rPr>
        <w:t xml:space="preserve"> отжигов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3. Профилактические отжиги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            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BE31D8" w:rsidRPr="00D377F3" w:rsidRDefault="00BE31D8" w:rsidP="00BE31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4. Принятие решения о проведении профилактических отжигов                       и определение лиц, ответственных за их проведение, осуществляется руководителями организаций, их законными представителями либо собственниками (арендаторами) земельных участков (далее – землепользователи).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377F3">
        <w:rPr>
          <w:rFonts w:ascii="Arial" w:hAnsi="Arial" w:cs="Arial"/>
          <w:sz w:val="24"/>
          <w:szCs w:val="24"/>
        </w:rPr>
        <w:t>Землепользователи обязаны уведомлять о планируемых профилактических отжигах администрацию Логовского сельского поселения и территориальное подразделение Государственного пожарного надзора, а также смежных землепользователей не позднее 10 календарных дней до начала работ и за сутки до начала непосредственного проведения профилактических отжигов.</w:t>
      </w:r>
      <w:proofErr w:type="gramEnd"/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6.    Информация о планируемых профилактических отжигах и результатах за их проведения за истекшие сутки представляется оперативным дежурным МКУ «ЕДДС Калачевского района».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7. Лица, производящие профилактические отжиги, допускаются                        к работам только после прохождения обучения мерам пожарной безопасности            и прохождения противопожарного инструктажа.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lastRenderedPageBreak/>
        <w:t xml:space="preserve">8. С началом работ обеспечивается присутствие уполномоченных представителей землепользователей, где производятся профилактические отжиги, в течение всего времени проведения работ. Организация работ должна обеспечивать непрерывный осмотр пройденной огнём площади участка с целью предотвратить его распространение. 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9.  После завершения профилактического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10.  О завершении работ землепользователи извещают МКУ «ЕДДС Калачевского района»</w:t>
      </w:r>
      <w:r w:rsidRPr="00D377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77F3">
        <w:rPr>
          <w:rFonts w:ascii="Arial" w:hAnsi="Arial" w:cs="Arial"/>
          <w:sz w:val="24"/>
          <w:szCs w:val="24"/>
        </w:rPr>
        <w:t xml:space="preserve"> и территориальное подразделение Государственного пожарного надзора. </w:t>
      </w:r>
    </w:p>
    <w:p w:rsidR="00BE31D8" w:rsidRPr="00D377F3" w:rsidRDefault="00BE31D8" w:rsidP="00BE31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77F3">
        <w:rPr>
          <w:rFonts w:ascii="Arial" w:hAnsi="Arial" w:cs="Arial"/>
          <w:b/>
          <w:bCs/>
          <w:sz w:val="24"/>
          <w:szCs w:val="24"/>
        </w:rPr>
        <w:t>III. Требования к проведению работ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11. Землепользователи не вправе допускать выжигания сухой травянистой растительности, кроме случаев, предусмотренных пунктом 3 настоящих правил.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12. Профилактические отжиги могут производиться в безветренную погоду до наступления пожароопасного сезона или сразу после его окончания,                  при условии, что:</w:t>
      </w:r>
    </w:p>
    <w:p w:rsidR="00BE31D8" w:rsidRPr="00D377F3" w:rsidRDefault="00BE31D8" w:rsidP="00BE31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а) участок для выжигания сухой травянистой растительности располагается на расстоянии не ближе 50 метров от ближайшего объекта (здания, сооружения, открытой установки, ограждений, забора и пр.) либо лиственного леса или отдельно растущих лиственных деревьев, а также не ближе  100 метров от хвойного леса или отдельно растущих хвойных деревьев;</w:t>
      </w:r>
    </w:p>
    <w:p w:rsidR="00BE31D8" w:rsidRPr="00D377F3" w:rsidRDefault="00BE31D8" w:rsidP="00BE31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или естественными преградами шириной не менее 1,4 метра, в качестве которых могут выступать дороги, ручьи, реки и т.п.;</w:t>
      </w:r>
    </w:p>
    <w:p w:rsidR="00BE31D8" w:rsidRPr="00D377F3" w:rsidRDefault="00BE31D8" w:rsidP="00BE31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E31D8" w:rsidRPr="00D377F3" w:rsidRDefault="00BE31D8" w:rsidP="00BE31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13. При определении необходимого числа лиц, участвующих                              в профилактических отжигах, учитывается то, что на равнинной местности силами 5 человек, включая старшего группы, в течение 2-х часов может быть проведено сжигание сухой растительности на площади до </w:t>
      </w:r>
      <w:smartTag w:uri="urn:schemas-microsoft-com:office:smarttags" w:element="metricconverter">
        <w:smartTagPr>
          <w:attr w:name="ProductID" w:val="2 га"/>
        </w:smartTagPr>
        <w:r w:rsidRPr="00D377F3">
          <w:rPr>
            <w:rFonts w:ascii="Arial" w:hAnsi="Arial" w:cs="Arial"/>
            <w:sz w:val="24"/>
            <w:szCs w:val="24"/>
          </w:rPr>
          <w:t>2 га</w:t>
        </w:r>
      </w:smartTag>
      <w:r w:rsidRPr="00D377F3">
        <w:rPr>
          <w:rFonts w:ascii="Arial" w:hAnsi="Arial" w:cs="Arial"/>
          <w:sz w:val="24"/>
          <w:szCs w:val="24"/>
        </w:rPr>
        <w:t>. Еще 1 час необходимо планировать для осмотра проходимой огнем площади и ликвидации очагов длительного горения. В сложных условиях пересеченной местности для выполнения работы на такой площади может потребоваться еще одна такая группа.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14. Перечень технических средств и снаряжения, используемых при проведении профилактических отжигов, включает: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основную пожарную либо приспособленную технику;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землеройную технику;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индивидуальные ручные средства, используемые для зажигания;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средства связи;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-средства для создания преград распространению огня и для его тушения в случае угрозы выхода профилактического отжига из-под контроля;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                        с местными условиями.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lastRenderedPageBreak/>
        <w:t xml:space="preserve">15. Участок земли, на котором запланировано выжигание сухой </w:t>
      </w:r>
      <w:proofErr w:type="gramStart"/>
      <w:r w:rsidRPr="00D377F3">
        <w:rPr>
          <w:rFonts w:ascii="Arial" w:hAnsi="Arial" w:cs="Arial"/>
          <w:sz w:val="24"/>
          <w:szCs w:val="24"/>
        </w:rPr>
        <w:t>травянистой</w:t>
      </w:r>
      <w:proofErr w:type="gramEnd"/>
      <w:r w:rsidRPr="00D377F3">
        <w:rPr>
          <w:rFonts w:ascii="Arial" w:hAnsi="Arial" w:cs="Arial"/>
          <w:sz w:val="24"/>
          <w:szCs w:val="24"/>
        </w:rPr>
        <w:t xml:space="preserve"> растительности, делится на блоки. Площадь блока не должна превышать 0,5 га.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16. Землепользователи обязаны обеспечить соблюдение условий </w:t>
      </w:r>
      <w:proofErr w:type="gramStart"/>
      <w:r w:rsidRPr="00D377F3">
        <w:rPr>
          <w:rFonts w:ascii="Arial" w:hAnsi="Arial" w:cs="Arial"/>
          <w:sz w:val="24"/>
          <w:szCs w:val="24"/>
        </w:rPr>
        <w:t>безопасного</w:t>
      </w:r>
      <w:proofErr w:type="gramEnd"/>
      <w:r w:rsidRPr="00D377F3">
        <w:rPr>
          <w:rFonts w:ascii="Arial" w:hAnsi="Arial" w:cs="Arial"/>
          <w:sz w:val="24"/>
          <w:szCs w:val="24"/>
        </w:rPr>
        <w:t xml:space="preserve"> проведении профилактических отжигов.</w:t>
      </w:r>
    </w:p>
    <w:p w:rsidR="00BE31D8" w:rsidRPr="00D377F3" w:rsidRDefault="00BE31D8" w:rsidP="00BE31D8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  <w:lang w:val="en-US"/>
        </w:rPr>
        <w:t>IV</w:t>
      </w:r>
      <w:r w:rsidRPr="00D377F3">
        <w:rPr>
          <w:rFonts w:ascii="Arial" w:hAnsi="Arial" w:cs="Arial"/>
          <w:b/>
          <w:sz w:val="24"/>
          <w:szCs w:val="24"/>
        </w:rPr>
        <w:t>. Ответственность за нарушение порядка проведения</w:t>
      </w:r>
    </w:p>
    <w:p w:rsidR="00BE31D8" w:rsidRPr="00D377F3" w:rsidRDefault="00BE31D8" w:rsidP="00BE31D8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77F3">
        <w:rPr>
          <w:rFonts w:ascii="Arial" w:hAnsi="Arial" w:cs="Arial"/>
          <w:b/>
          <w:sz w:val="24"/>
          <w:szCs w:val="24"/>
        </w:rPr>
        <w:t>выжиганий сухой травянистой растительности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17. Лица, виновные в нарушении Порядка, несут ответственность                        в соответствии с законодательством Российской Федерации и Кодексом Волгоградской области об административной ответственности.  </w:t>
      </w:r>
    </w:p>
    <w:p w:rsidR="00BE31D8" w:rsidRPr="00D377F3" w:rsidRDefault="00BE31D8" w:rsidP="00BE31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18. Наложение штрафов и иных административных взысканий не освобождает виновных лиц в установленном Гражданским </w:t>
      </w:r>
      <w:hyperlink r:id="rId5" w:history="1">
        <w:r w:rsidRPr="00D377F3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D377F3">
        <w:rPr>
          <w:rFonts w:ascii="Arial" w:hAnsi="Arial" w:cs="Arial"/>
          <w:sz w:val="24"/>
          <w:szCs w:val="24"/>
        </w:rPr>
        <w:t xml:space="preserve"> Российской Федерации порядке от возмещения вреда здоровью и ущерба имуществу, причиненных пожаром или возгоранием.</w:t>
      </w:r>
    </w:p>
    <w:p w:rsidR="00BE31D8" w:rsidRPr="00D377F3" w:rsidRDefault="00BE31D8" w:rsidP="00BE31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377F3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D377F3">
        <w:rPr>
          <w:rFonts w:ascii="Arial" w:hAnsi="Arial" w:cs="Arial"/>
          <w:sz w:val="24"/>
          <w:szCs w:val="24"/>
        </w:rPr>
        <w:t>Юридические и физические лица, причинившие при выжигании 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проводился профилактический отжиг, а также в результате гибели объектов животного мира, лесов и древесно-кустарниковой растительности на территории, где проводился профилактический отжиг, обязаны возместить его в полном объеме в соответствии с</w:t>
      </w:r>
      <w:proofErr w:type="gramEnd"/>
      <w:r w:rsidRPr="00D377F3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333E95" w:rsidRPr="00D377F3" w:rsidRDefault="00333E95">
      <w:pPr>
        <w:rPr>
          <w:rFonts w:ascii="Arial" w:hAnsi="Arial" w:cs="Arial"/>
          <w:sz w:val="24"/>
          <w:szCs w:val="24"/>
        </w:rPr>
      </w:pPr>
    </w:p>
    <w:sectPr w:rsidR="00333E95" w:rsidRPr="00D377F3" w:rsidSect="00E9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880"/>
    <w:multiLevelType w:val="multilevel"/>
    <w:tmpl w:val="5F70188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E31D8"/>
    <w:rsid w:val="00333E95"/>
    <w:rsid w:val="00BE31D8"/>
    <w:rsid w:val="00D211D4"/>
    <w:rsid w:val="00D377F3"/>
    <w:rsid w:val="00E9150F"/>
    <w:rsid w:val="00E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F"/>
  </w:style>
  <w:style w:type="paragraph" w:styleId="3">
    <w:name w:val="heading 3"/>
    <w:basedOn w:val="a"/>
    <w:next w:val="a"/>
    <w:link w:val="30"/>
    <w:qFormat/>
    <w:rsid w:val="00BE31D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BE31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31D8"/>
    <w:rPr>
      <w:color w:val="0000FF"/>
      <w:u w:val="single"/>
    </w:rPr>
  </w:style>
  <w:style w:type="paragraph" w:customStyle="1" w:styleId="ConsPlusTitle">
    <w:name w:val="ConsPlusTitle"/>
    <w:uiPriority w:val="99"/>
    <w:rsid w:val="00BE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E3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E31D8"/>
    <w:rPr>
      <w:rFonts w:ascii="Tahoma" w:eastAsia="Times New Roman" w:hAnsi="Tahoma" w:cs="Tahoma"/>
      <w:sz w:val="28"/>
      <w:szCs w:val="20"/>
    </w:rPr>
  </w:style>
  <w:style w:type="character" w:customStyle="1" w:styleId="40">
    <w:name w:val="Заголовок 4 Знак"/>
    <w:basedOn w:val="a0"/>
    <w:link w:val="4"/>
    <w:rsid w:val="00BE31D8"/>
    <w:rPr>
      <w:rFonts w:ascii="Times New Roman" w:eastAsia="Times New Roman" w:hAnsi="Times New Roman" w:cs="Times New Roman"/>
      <w:sz w:val="36"/>
      <w:szCs w:val="20"/>
    </w:rPr>
  </w:style>
  <w:style w:type="character" w:customStyle="1" w:styleId="FontStyle14">
    <w:name w:val="Font Style14"/>
    <w:basedOn w:val="a0"/>
    <w:uiPriority w:val="99"/>
    <w:qFormat/>
    <w:rsid w:val="00BE31D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BE31D8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6C02578F4F9664CC4DC7A9174A7A5BCE7448BECCFFBF5CCBDB31391B4AW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2016-11-07T04:58:00Z</dcterms:created>
  <dcterms:modified xsi:type="dcterms:W3CDTF">2016-11-07T06:31:00Z</dcterms:modified>
</cp:coreProperties>
</file>