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C" w:rsidRPr="004A322C" w:rsidRDefault="00D67C8C" w:rsidP="00D67C8C">
      <w:pPr>
        <w:pStyle w:val="2"/>
        <w:tabs>
          <w:tab w:val="left" w:pos="7878"/>
        </w:tabs>
        <w:jc w:val="left"/>
        <w:rPr>
          <w:rFonts w:ascii="Arial" w:hAnsi="Arial" w:cs="Arial"/>
          <w:b/>
          <w:sz w:val="24"/>
        </w:rPr>
      </w:pPr>
    </w:p>
    <w:p w:rsidR="00A360CC" w:rsidRPr="004A322C" w:rsidRDefault="00A360CC" w:rsidP="006441DD">
      <w:pPr>
        <w:pStyle w:val="2"/>
        <w:rPr>
          <w:rFonts w:ascii="Arial" w:hAnsi="Arial" w:cs="Arial"/>
          <w:b/>
          <w:sz w:val="24"/>
        </w:rPr>
      </w:pPr>
      <w:r w:rsidRPr="004A322C">
        <w:rPr>
          <w:rFonts w:ascii="Arial" w:hAnsi="Arial" w:cs="Arial"/>
          <w:b/>
          <w:sz w:val="24"/>
        </w:rPr>
        <w:t>АДМИНИСТРАЦИЯ</w:t>
      </w:r>
    </w:p>
    <w:p w:rsidR="00A360CC" w:rsidRPr="004A322C" w:rsidRDefault="00A360CC" w:rsidP="006441DD">
      <w:pPr>
        <w:pStyle w:val="2"/>
        <w:rPr>
          <w:rFonts w:ascii="Arial" w:hAnsi="Arial" w:cs="Arial"/>
          <w:b/>
          <w:sz w:val="24"/>
        </w:rPr>
      </w:pPr>
      <w:r w:rsidRPr="004A322C">
        <w:rPr>
          <w:rFonts w:ascii="Arial" w:hAnsi="Arial" w:cs="Arial"/>
          <w:b/>
          <w:sz w:val="24"/>
        </w:rPr>
        <w:t>ЛОГОВСКОГО  СЕЛЬСКОГО ПОСЕЛЕНИЯ</w:t>
      </w:r>
    </w:p>
    <w:p w:rsidR="00A360CC" w:rsidRPr="004A322C" w:rsidRDefault="00A360CC" w:rsidP="006441DD">
      <w:pPr>
        <w:jc w:val="center"/>
        <w:rPr>
          <w:rFonts w:ascii="Arial" w:hAnsi="Arial" w:cs="Arial"/>
          <w:b/>
        </w:rPr>
      </w:pPr>
      <w:r w:rsidRPr="004A322C">
        <w:rPr>
          <w:rFonts w:ascii="Arial" w:hAnsi="Arial" w:cs="Arial"/>
          <w:b/>
        </w:rPr>
        <w:t>КАЛАЧЁВСКОГО МУНИЦИПАЛЬНОГО РАЙОНА</w:t>
      </w:r>
    </w:p>
    <w:p w:rsidR="00A360CC" w:rsidRPr="004A322C" w:rsidRDefault="00A360CC" w:rsidP="006441DD">
      <w:pPr>
        <w:jc w:val="center"/>
        <w:rPr>
          <w:rFonts w:ascii="Arial" w:hAnsi="Arial" w:cs="Arial"/>
        </w:rPr>
      </w:pPr>
      <w:r w:rsidRPr="004A322C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4A322C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4A322C" w:rsidRDefault="00A360CC" w:rsidP="006441D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A322C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360CC" w:rsidRPr="004A322C" w:rsidRDefault="00A360CC" w:rsidP="00A360CC">
      <w:pPr>
        <w:rPr>
          <w:rFonts w:ascii="Arial" w:hAnsi="Arial" w:cs="Arial"/>
        </w:rPr>
      </w:pPr>
      <w:r w:rsidRPr="004A322C">
        <w:rPr>
          <w:rFonts w:ascii="Arial" w:hAnsi="Arial" w:cs="Arial"/>
        </w:rPr>
        <w:t xml:space="preserve">от </w:t>
      </w:r>
      <w:r w:rsidR="00442504" w:rsidRPr="004A322C">
        <w:rPr>
          <w:rFonts w:ascii="Arial" w:hAnsi="Arial" w:cs="Arial"/>
        </w:rPr>
        <w:t xml:space="preserve">7 декабря </w:t>
      </w:r>
      <w:r w:rsidR="0077602C" w:rsidRPr="004A322C">
        <w:rPr>
          <w:rFonts w:ascii="Arial" w:hAnsi="Arial" w:cs="Arial"/>
        </w:rPr>
        <w:t>2016 №</w:t>
      </w:r>
      <w:r w:rsidR="00442504" w:rsidRPr="004A322C">
        <w:rPr>
          <w:rFonts w:ascii="Arial" w:hAnsi="Arial" w:cs="Arial"/>
        </w:rPr>
        <w:t xml:space="preserve"> 116</w:t>
      </w:r>
    </w:p>
    <w:p w:rsidR="00A360CC" w:rsidRPr="004A322C" w:rsidRDefault="00A360CC" w:rsidP="00A360CC">
      <w:pPr>
        <w:rPr>
          <w:rFonts w:ascii="Arial" w:hAnsi="Arial" w:cs="Arial"/>
        </w:rPr>
      </w:pPr>
    </w:p>
    <w:p w:rsidR="00A360CC" w:rsidRPr="004A322C" w:rsidRDefault="005F58B1" w:rsidP="00A360CC">
      <w:pPr>
        <w:jc w:val="center"/>
        <w:rPr>
          <w:rFonts w:ascii="Arial" w:hAnsi="Arial" w:cs="Arial"/>
          <w:b/>
        </w:rPr>
      </w:pPr>
      <w:r w:rsidRPr="004A322C">
        <w:rPr>
          <w:rFonts w:ascii="Arial" w:hAnsi="Arial" w:cs="Arial"/>
          <w:b/>
        </w:rPr>
        <w:t>О</w:t>
      </w:r>
      <w:r w:rsidR="0077602C" w:rsidRPr="004A322C">
        <w:rPr>
          <w:rFonts w:ascii="Arial" w:hAnsi="Arial" w:cs="Arial"/>
          <w:b/>
        </w:rPr>
        <w:t xml:space="preserve"> внесении изменений в </w:t>
      </w:r>
      <w:r w:rsidRPr="004A322C">
        <w:rPr>
          <w:rFonts w:ascii="Arial" w:hAnsi="Arial" w:cs="Arial"/>
          <w:b/>
        </w:rPr>
        <w:t>программ</w:t>
      </w:r>
      <w:r w:rsidR="0077602C" w:rsidRPr="004A322C">
        <w:rPr>
          <w:rFonts w:ascii="Arial" w:hAnsi="Arial" w:cs="Arial"/>
          <w:b/>
        </w:rPr>
        <w:t xml:space="preserve">у </w:t>
      </w:r>
      <w:r w:rsidR="00A360CC" w:rsidRPr="004A322C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  <w:r w:rsidR="0077602C" w:rsidRPr="004A322C">
        <w:rPr>
          <w:rFonts w:ascii="Arial" w:hAnsi="Arial" w:cs="Arial"/>
          <w:b/>
        </w:rPr>
        <w:t>, утвержденную постановлением Администрации Логовского сельского поселения от 19.09.2016 № 84</w:t>
      </w:r>
    </w:p>
    <w:p w:rsidR="00A360CC" w:rsidRPr="004A322C" w:rsidRDefault="00A360CC" w:rsidP="00A360CC">
      <w:pPr>
        <w:jc w:val="center"/>
        <w:rPr>
          <w:rFonts w:ascii="Arial" w:hAnsi="Arial" w:cs="Arial"/>
          <w:b/>
        </w:rPr>
      </w:pPr>
    </w:p>
    <w:p w:rsidR="00A360CC" w:rsidRPr="004A322C" w:rsidRDefault="00A360CC" w:rsidP="00A360CC">
      <w:pPr>
        <w:jc w:val="center"/>
        <w:rPr>
          <w:rFonts w:ascii="Arial" w:hAnsi="Arial" w:cs="Arial"/>
        </w:rPr>
      </w:pPr>
    </w:p>
    <w:p w:rsidR="00A360CC" w:rsidRPr="004A322C" w:rsidRDefault="00A360CC" w:rsidP="00A360CC">
      <w:pPr>
        <w:jc w:val="center"/>
        <w:rPr>
          <w:rFonts w:ascii="Arial" w:hAnsi="Arial" w:cs="Arial"/>
        </w:rPr>
      </w:pPr>
    </w:p>
    <w:p w:rsidR="00A360CC" w:rsidRPr="004A322C" w:rsidRDefault="00A360CC" w:rsidP="00A360CC">
      <w:pPr>
        <w:ind w:firstLine="709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 xml:space="preserve">В целях </w:t>
      </w:r>
      <w:r w:rsidR="0044207C" w:rsidRPr="004A322C">
        <w:rPr>
          <w:rFonts w:ascii="Arial" w:hAnsi="Arial" w:cs="Arial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4A322C">
        <w:rPr>
          <w:rFonts w:ascii="Arial" w:hAnsi="Arial" w:cs="Arial"/>
        </w:rPr>
        <w:t>кона от 29.12.2014г. № 456-ФЗ),</w:t>
      </w:r>
      <w:r w:rsidR="0044207C" w:rsidRPr="004A322C">
        <w:rPr>
          <w:rFonts w:ascii="Arial" w:hAnsi="Arial" w:cs="Arial"/>
        </w:rPr>
        <w:t xml:space="preserve"> приказа Министерства транс</w:t>
      </w:r>
      <w:r w:rsidR="005F58B1" w:rsidRPr="004A322C">
        <w:rPr>
          <w:rFonts w:ascii="Arial" w:hAnsi="Arial" w:cs="Arial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44207C" w:rsidRPr="004A322C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A360CC" w:rsidRPr="004A322C" w:rsidRDefault="004A322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ПОСТАНОВЛЯЕТ</w:t>
      </w:r>
      <w:r w:rsidR="00A360CC" w:rsidRPr="004A322C">
        <w:rPr>
          <w:rFonts w:ascii="Arial" w:hAnsi="Arial" w:cs="Arial"/>
          <w:b/>
          <w:bCs/>
          <w:sz w:val="24"/>
        </w:rPr>
        <w:t xml:space="preserve">: </w:t>
      </w:r>
    </w:p>
    <w:p w:rsidR="00A360CC" w:rsidRPr="004A322C" w:rsidRDefault="00A360CC" w:rsidP="0044207C">
      <w:pPr>
        <w:jc w:val="both"/>
        <w:rPr>
          <w:rFonts w:ascii="Arial" w:hAnsi="Arial" w:cs="Arial"/>
        </w:rPr>
      </w:pPr>
    </w:p>
    <w:p w:rsidR="0044207C" w:rsidRPr="004A322C" w:rsidRDefault="00A360CC" w:rsidP="0044207C">
      <w:pPr>
        <w:ind w:firstLine="709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>1.</w:t>
      </w:r>
      <w:r w:rsidR="0077602C" w:rsidRPr="004A322C">
        <w:rPr>
          <w:rFonts w:ascii="Arial" w:hAnsi="Arial" w:cs="Arial"/>
        </w:rPr>
        <w:t xml:space="preserve"> Внести следующие изменения в программу «Комплексное развитие транспортной инфраструктуры Логовского сельского поселения на 2016-2025 годы», утвержденную постановлением Администрации Логовского сельского поселения от 19.09.2016 № 84:</w:t>
      </w:r>
    </w:p>
    <w:p w:rsidR="0077602C" w:rsidRPr="004A322C" w:rsidRDefault="0077602C" w:rsidP="0044207C">
      <w:pPr>
        <w:ind w:firstLine="709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 xml:space="preserve">1.1. В разделах </w:t>
      </w:r>
      <w:r w:rsidRPr="004A322C">
        <w:rPr>
          <w:rFonts w:ascii="Arial" w:hAnsi="Arial" w:cs="Arial"/>
          <w:lang w:val="en-US"/>
        </w:rPr>
        <w:t>I</w:t>
      </w:r>
      <w:r w:rsidRPr="004A322C">
        <w:rPr>
          <w:rFonts w:ascii="Arial" w:hAnsi="Arial" w:cs="Arial"/>
        </w:rPr>
        <w:t xml:space="preserve"> и </w:t>
      </w:r>
      <w:r w:rsidRPr="004A322C">
        <w:rPr>
          <w:rFonts w:ascii="Arial" w:hAnsi="Arial" w:cs="Arial"/>
          <w:lang w:val="en-US"/>
        </w:rPr>
        <w:t>VIII</w:t>
      </w:r>
      <w:r w:rsidR="00A568A5" w:rsidRPr="004A322C">
        <w:rPr>
          <w:rFonts w:ascii="Arial" w:hAnsi="Arial" w:cs="Arial"/>
        </w:rPr>
        <w:t xml:space="preserve"> </w:t>
      </w:r>
      <w:r w:rsidRPr="004A322C">
        <w:rPr>
          <w:rFonts w:ascii="Arial" w:hAnsi="Arial" w:cs="Arial"/>
        </w:rPr>
        <w:t>Программы слова "городского округа" исключить.</w:t>
      </w:r>
    </w:p>
    <w:p w:rsidR="0077602C" w:rsidRPr="004A322C" w:rsidRDefault="007C588E" w:rsidP="0044207C">
      <w:pPr>
        <w:ind w:firstLine="709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 xml:space="preserve">1.2. Абзац 25 п. 4 </w:t>
      </w:r>
      <w:r w:rsidR="0077602C" w:rsidRPr="004A322C">
        <w:rPr>
          <w:rFonts w:ascii="Arial" w:hAnsi="Arial" w:cs="Arial"/>
        </w:rPr>
        <w:t xml:space="preserve"> раздела </w:t>
      </w:r>
      <w:r w:rsidR="0077602C" w:rsidRPr="004A322C">
        <w:rPr>
          <w:rFonts w:ascii="Arial" w:hAnsi="Arial" w:cs="Arial"/>
          <w:lang w:val="en-US"/>
        </w:rPr>
        <w:t>I</w:t>
      </w:r>
      <w:r w:rsidR="0077602C" w:rsidRPr="004A322C">
        <w:rPr>
          <w:rFonts w:ascii="Arial" w:hAnsi="Arial" w:cs="Arial"/>
        </w:rPr>
        <w:t xml:space="preserve"> Программы изложить в следующей редакции:</w:t>
      </w:r>
    </w:p>
    <w:p w:rsidR="0077602C" w:rsidRPr="004A322C" w:rsidRDefault="0077602C" w:rsidP="0044207C">
      <w:pPr>
        <w:ind w:firstLine="709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>"элементы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правил дорожного движения,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r w:rsidR="007C588E" w:rsidRPr="004A322C">
        <w:rPr>
          <w:rFonts w:ascii="Arial" w:hAnsi="Arial" w:cs="Arial"/>
        </w:rPr>
        <w:t xml:space="preserve"> </w:t>
      </w:r>
      <w:r w:rsidRPr="004A322C">
        <w:rPr>
          <w:rFonts w:ascii="Arial" w:hAnsi="Arial" w:cs="Arial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сервиса;"</w:t>
      </w:r>
    </w:p>
    <w:p w:rsidR="00A568A5" w:rsidRPr="004A322C" w:rsidRDefault="0077602C" w:rsidP="0044207C">
      <w:pPr>
        <w:ind w:firstLine="709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 xml:space="preserve">1.3. </w:t>
      </w:r>
      <w:r w:rsidR="007C588E" w:rsidRPr="004A322C">
        <w:rPr>
          <w:rFonts w:ascii="Arial" w:hAnsi="Arial" w:cs="Arial"/>
        </w:rPr>
        <w:t xml:space="preserve">п. 5.6 раздела </w:t>
      </w:r>
      <w:r w:rsidR="007C588E" w:rsidRPr="004A322C">
        <w:rPr>
          <w:rFonts w:ascii="Arial" w:hAnsi="Arial" w:cs="Arial"/>
          <w:lang w:val="en-US"/>
        </w:rPr>
        <w:t>V</w:t>
      </w:r>
      <w:r w:rsidR="007C588E" w:rsidRPr="004A322C">
        <w:rPr>
          <w:rFonts w:ascii="Arial" w:hAnsi="Arial" w:cs="Arial"/>
        </w:rPr>
        <w:t xml:space="preserve"> изложить в следующей редакции:</w:t>
      </w:r>
    </w:p>
    <w:p w:rsidR="007C588E" w:rsidRPr="004A322C" w:rsidRDefault="00E94EB0" w:rsidP="007C588E">
      <w:pPr>
        <w:ind w:firstLine="567"/>
        <w:jc w:val="both"/>
        <w:rPr>
          <w:rFonts w:ascii="Arial" w:hAnsi="Arial" w:cs="Arial"/>
        </w:rPr>
      </w:pPr>
      <w:bookmarkStart w:id="0" w:name="bookmark36"/>
      <w:r w:rsidRPr="004A322C">
        <w:rPr>
          <w:rFonts w:ascii="Arial" w:hAnsi="Arial" w:cs="Arial"/>
        </w:rPr>
        <w:t xml:space="preserve">   «</w:t>
      </w:r>
      <w:r w:rsidR="007C588E" w:rsidRPr="004A322C">
        <w:rPr>
          <w:rFonts w:ascii="Arial" w:hAnsi="Arial" w:cs="Arial"/>
        </w:rPr>
        <w:t>5.6. Мероприятия по</w:t>
      </w:r>
      <w:r w:rsidRPr="004A322C">
        <w:rPr>
          <w:rFonts w:ascii="Arial" w:hAnsi="Arial" w:cs="Arial"/>
        </w:rPr>
        <w:t xml:space="preserve"> содержанию и </w:t>
      </w:r>
      <w:r w:rsidR="007C588E" w:rsidRPr="004A322C">
        <w:rPr>
          <w:rFonts w:ascii="Arial" w:hAnsi="Arial" w:cs="Arial"/>
        </w:rPr>
        <w:t xml:space="preserve"> развитию сети автомобильных дорог общего пользования местного значения Логовского сельского поселения</w:t>
      </w:r>
      <w:bookmarkEnd w:id="0"/>
    </w:p>
    <w:p w:rsidR="007C588E" w:rsidRPr="004A322C" w:rsidRDefault="007C588E" w:rsidP="007C588E">
      <w:pPr>
        <w:ind w:firstLine="567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 xml:space="preserve">В целях </w:t>
      </w:r>
      <w:r w:rsidR="00E94EB0" w:rsidRPr="004A322C">
        <w:rPr>
          <w:rFonts w:ascii="Arial" w:hAnsi="Arial" w:cs="Arial"/>
        </w:rPr>
        <w:t xml:space="preserve">содержания и </w:t>
      </w:r>
      <w:r w:rsidRPr="004A322C">
        <w:rPr>
          <w:rFonts w:ascii="Arial" w:hAnsi="Arial" w:cs="Arial"/>
        </w:rPr>
        <w:t>развития сети дорог поселения планируются:</w:t>
      </w:r>
    </w:p>
    <w:p w:rsidR="007C588E" w:rsidRPr="004A322C" w:rsidRDefault="007C588E" w:rsidP="007C588E">
      <w:pPr>
        <w:ind w:firstLine="567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17"/>
        <w:tblW w:w="104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0"/>
        <w:gridCol w:w="2553"/>
        <w:gridCol w:w="992"/>
        <w:gridCol w:w="992"/>
        <w:gridCol w:w="992"/>
        <w:gridCol w:w="1259"/>
        <w:gridCol w:w="1151"/>
        <w:gridCol w:w="1701"/>
      </w:tblGrid>
      <w:tr w:rsidR="007C588E" w:rsidRPr="004A322C" w:rsidTr="00AB0D42">
        <w:trPr>
          <w:trHeight w:val="570"/>
          <w:tblCellSpacing w:w="0" w:type="dxa"/>
        </w:trPr>
        <w:tc>
          <w:tcPr>
            <w:tcW w:w="830" w:type="dxa"/>
            <w:vMerge w:val="restart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lastRenderedPageBreak/>
              <w:t>№ п/п</w:t>
            </w:r>
          </w:p>
        </w:tc>
        <w:tc>
          <w:tcPr>
            <w:tcW w:w="2553" w:type="dxa"/>
            <w:vMerge w:val="restart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Наименование объектов, адрес</w:t>
            </w:r>
          </w:p>
        </w:tc>
        <w:tc>
          <w:tcPr>
            <w:tcW w:w="7087" w:type="dxa"/>
            <w:gridSpan w:val="6"/>
            <w:hideMark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Объем финансирования, тыс.руб из средств местного бюджета   на 2016 – 2020 годы</w:t>
            </w:r>
          </w:p>
        </w:tc>
      </w:tr>
      <w:tr w:rsidR="007C588E" w:rsidRPr="004A322C" w:rsidTr="00AB0D42">
        <w:trPr>
          <w:trHeight w:val="1750"/>
          <w:tblCellSpacing w:w="0" w:type="dxa"/>
        </w:trPr>
        <w:tc>
          <w:tcPr>
            <w:tcW w:w="830" w:type="dxa"/>
            <w:vMerge/>
            <w:vAlign w:val="center"/>
            <w:hideMark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2016 г.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 xml:space="preserve">(тыс. руб.) </w:t>
            </w:r>
          </w:p>
        </w:tc>
        <w:tc>
          <w:tcPr>
            <w:tcW w:w="992" w:type="dxa"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val="en-US" w:eastAsia="en-US"/>
              </w:rPr>
              <w:t>2017</w:t>
            </w:r>
            <w:r w:rsidRPr="004A322C">
              <w:rPr>
                <w:rFonts w:ascii="Arial" w:hAnsi="Arial" w:cs="Arial"/>
                <w:lang w:eastAsia="en-US"/>
              </w:rPr>
              <w:t>г.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(тыс.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руб)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2018 г (тыс.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руб)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9" w:type="dxa"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2019 г.(тыс.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руб)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1" w:type="dxa"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2020 г.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(тыс.руб)</w:t>
            </w:r>
          </w:p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bCs/>
                <w:lang w:eastAsia="en-US"/>
              </w:rPr>
              <w:t>ИТОГО,</w:t>
            </w:r>
          </w:p>
          <w:p w:rsidR="007C588E" w:rsidRPr="004A322C" w:rsidRDefault="007C588E" w:rsidP="00AB0D42">
            <w:pPr>
              <w:rPr>
                <w:rFonts w:ascii="Arial" w:hAnsi="Arial" w:cs="Arial"/>
                <w:bCs/>
                <w:lang w:eastAsia="en-US"/>
              </w:rPr>
            </w:pPr>
            <w:r w:rsidRPr="004A322C">
              <w:rPr>
                <w:rFonts w:ascii="Arial" w:hAnsi="Arial" w:cs="Arial"/>
                <w:bCs/>
                <w:lang w:eastAsia="en-US"/>
              </w:rPr>
              <w:t>тыс.руб.</w:t>
            </w:r>
          </w:p>
        </w:tc>
      </w:tr>
      <w:tr w:rsidR="007C588E" w:rsidRPr="004A322C" w:rsidTr="00AB0D42">
        <w:trPr>
          <w:trHeight w:val="635"/>
          <w:tblCellSpacing w:w="0" w:type="dxa"/>
        </w:trPr>
        <w:tc>
          <w:tcPr>
            <w:tcW w:w="830" w:type="dxa"/>
            <w:hideMark/>
          </w:tcPr>
          <w:p w:rsidR="007C588E" w:rsidRPr="004A322C" w:rsidRDefault="007C588E" w:rsidP="00AB0D42">
            <w:pPr>
              <w:numPr>
                <w:ilvl w:val="0"/>
                <w:numId w:val="18"/>
              </w:numPr>
              <w:spacing w:before="100" w:beforeAutospacing="1"/>
              <w:ind w:left="0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553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Ремонт и содержание автомобильных дорог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 xml:space="preserve">  544,3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val="en-US" w:eastAsia="en-US"/>
              </w:rPr>
            </w:pPr>
            <w:r w:rsidRPr="004A322C">
              <w:rPr>
                <w:rFonts w:ascii="Arial" w:hAnsi="Arial" w:cs="Arial"/>
                <w:lang w:val="en-US" w:eastAsia="en-US"/>
              </w:rPr>
              <w:t>692.6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val="en-US" w:eastAsia="en-US"/>
              </w:rPr>
            </w:pPr>
            <w:r w:rsidRPr="004A322C">
              <w:rPr>
                <w:rFonts w:ascii="Arial" w:hAnsi="Arial" w:cs="Arial"/>
                <w:lang w:val="en-US" w:eastAsia="en-US"/>
              </w:rPr>
              <w:t>545.4</w:t>
            </w:r>
          </w:p>
        </w:tc>
        <w:tc>
          <w:tcPr>
            <w:tcW w:w="1259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545,4</w:t>
            </w:r>
          </w:p>
        </w:tc>
        <w:tc>
          <w:tcPr>
            <w:tcW w:w="115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 xml:space="preserve">  2927,7</w:t>
            </w:r>
          </w:p>
        </w:tc>
      </w:tr>
      <w:tr w:rsidR="007C588E" w:rsidRPr="004A322C" w:rsidTr="00AB0D42">
        <w:trPr>
          <w:trHeight w:val="332"/>
          <w:tblCellSpacing w:w="0" w:type="dxa"/>
        </w:trPr>
        <w:tc>
          <w:tcPr>
            <w:tcW w:w="830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553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 xml:space="preserve"> Устройство искусственной неровности дороги (Лежачие полицейские ) 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val="en-US" w:eastAsia="en-US"/>
              </w:rPr>
              <w:t>1</w:t>
            </w:r>
            <w:r w:rsidRPr="004A322C">
              <w:rPr>
                <w:rFonts w:ascii="Arial" w:hAnsi="Arial" w:cs="Arial"/>
                <w:lang w:eastAsia="en-US"/>
              </w:rPr>
              <w:t>03,0</w:t>
            </w: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9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1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103,0</w:t>
            </w:r>
          </w:p>
        </w:tc>
      </w:tr>
      <w:tr w:rsidR="007C588E" w:rsidRPr="004A322C" w:rsidTr="00AB0D42">
        <w:trPr>
          <w:trHeight w:val="332"/>
          <w:tblCellSpacing w:w="0" w:type="dxa"/>
        </w:trPr>
        <w:tc>
          <w:tcPr>
            <w:tcW w:w="830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553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Дорожные знаки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52,5</w:t>
            </w: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9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1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52,5</w:t>
            </w:r>
          </w:p>
        </w:tc>
      </w:tr>
      <w:tr w:rsidR="007C588E" w:rsidRPr="004A322C" w:rsidTr="00AB0D42">
        <w:trPr>
          <w:trHeight w:val="332"/>
          <w:tblCellSpacing w:w="0" w:type="dxa"/>
        </w:trPr>
        <w:tc>
          <w:tcPr>
            <w:tcW w:w="830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553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Установка дорожных знаков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62,1</w:t>
            </w: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9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1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62,1</w:t>
            </w:r>
          </w:p>
        </w:tc>
      </w:tr>
      <w:tr w:rsidR="007C588E" w:rsidRPr="004A322C" w:rsidTr="00AB0D42">
        <w:trPr>
          <w:trHeight w:val="332"/>
          <w:tblCellSpacing w:w="0" w:type="dxa"/>
        </w:trPr>
        <w:tc>
          <w:tcPr>
            <w:tcW w:w="830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val="en-US" w:eastAsia="en-US"/>
              </w:rPr>
            </w:pPr>
            <w:r w:rsidRPr="004A322C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553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Строительство грунтовой дороги по ул.Спортивная,х.Логовский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232,6</w:t>
            </w:r>
          </w:p>
        </w:tc>
        <w:tc>
          <w:tcPr>
            <w:tcW w:w="1259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1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232,6</w:t>
            </w:r>
          </w:p>
        </w:tc>
      </w:tr>
      <w:tr w:rsidR="007C588E" w:rsidRPr="004A322C" w:rsidTr="00AB0D42">
        <w:trPr>
          <w:trHeight w:val="332"/>
          <w:tblCellSpacing w:w="0" w:type="dxa"/>
        </w:trPr>
        <w:tc>
          <w:tcPr>
            <w:tcW w:w="830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3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Строительство грунтовой дороги по ул.Мичурина,х.Логовский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9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232,6</w:t>
            </w:r>
          </w:p>
        </w:tc>
        <w:tc>
          <w:tcPr>
            <w:tcW w:w="1151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232,6</w:t>
            </w:r>
          </w:p>
        </w:tc>
      </w:tr>
      <w:tr w:rsidR="007C588E" w:rsidRPr="004A322C" w:rsidTr="00AB0D42">
        <w:trPr>
          <w:trHeight w:val="332"/>
          <w:tblCellSpacing w:w="0" w:type="dxa"/>
        </w:trPr>
        <w:tc>
          <w:tcPr>
            <w:tcW w:w="830" w:type="dxa"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3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761,9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val="en-US" w:eastAsia="en-US"/>
              </w:rPr>
            </w:pPr>
            <w:r w:rsidRPr="004A322C">
              <w:rPr>
                <w:rFonts w:ascii="Arial" w:hAnsi="Arial" w:cs="Arial"/>
                <w:lang w:val="en-US" w:eastAsia="en-US"/>
              </w:rPr>
              <w:t>692.6</w:t>
            </w:r>
          </w:p>
        </w:tc>
        <w:tc>
          <w:tcPr>
            <w:tcW w:w="992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778,0</w:t>
            </w:r>
          </w:p>
        </w:tc>
        <w:tc>
          <w:tcPr>
            <w:tcW w:w="1259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778,0</w:t>
            </w:r>
          </w:p>
        </w:tc>
        <w:tc>
          <w:tcPr>
            <w:tcW w:w="115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1701" w:type="dxa"/>
            <w:hideMark/>
          </w:tcPr>
          <w:p w:rsidR="007C588E" w:rsidRPr="004A322C" w:rsidRDefault="007C588E" w:rsidP="00AB0D42">
            <w:pPr>
              <w:spacing w:before="100" w:beforeAutospacing="1"/>
              <w:rPr>
                <w:rFonts w:ascii="Arial" w:hAnsi="Arial" w:cs="Arial"/>
                <w:lang w:eastAsia="en-US"/>
              </w:rPr>
            </w:pPr>
            <w:r w:rsidRPr="004A322C">
              <w:rPr>
                <w:rFonts w:ascii="Arial" w:hAnsi="Arial" w:cs="Arial"/>
                <w:lang w:eastAsia="en-US"/>
              </w:rPr>
              <w:t>3610,5</w:t>
            </w:r>
          </w:p>
        </w:tc>
      </w:tr>
    </w:tbl>
    <w:p w:rsidR="007C588E" w:rsidRPr="004A322C" w:rsidRDefault="007C588E" w:rsidP="007C588E">
      <w:pPr>
        <w:ind w:firstLine="567"/>
        <w:jc w:val="both"/>
        <w:rPr>
          <w:rFonts w:ascii="Arial" w:hAnsi="Arial" w:cs="Arial"/>
        </w:rPr>
      </w:pPr>
    </w:p>
    <w:p w:rsidR="007C588E" w:rsidRPr="004A322C" w:rsidRDefault="004F5764" w:rsidP="007C588E">
      <w:pPr>
        <w:ind w:firstLine="567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>В</w:t>
      </w:r>
      <w:r w:rsidR="007C588E" w:rsidRPr="004A322C">
        <w:rPr>
          <w:rFonts w:ascii="Arial" w:hAnsi="Arial" w:cs="Arial"/>
        </w:rPr>
        <w:t xml:space="preserve"> период с 2021 по 2025 годы </w:t>
      </w:r>
      <w:r w:rsidRPr="004A322C">
        <w:rPr>
          <w:rFonts w:ascii="Arial" w:hAnsi="Arial" w:cs="Arial"/>
        </w:rPr>
        <w:t>планируется осуществлять ремонт автомобильных дорог общего пользования местного значения и искусственных сооружений на них.</w:t>
      </w:r>
    </w:p>
    <w:p w:rsidR="007C588E" w:rsidRPr="004A322C" w:rsidRDefault="007C588E" w:rsidP="007C588E">
      <w:pPr>
        <w:ind w:firstLine="567"/>
        <w:jc w:val="both"/>
        <w:rPr>
          <w:rFonts w:ascii="Arial" w:hAnsi="Arial" w:cs="Arial"/>
        </w:rPr>
      </w:pPr>
      <w:r w:rsidRPr="004A322C">
        <w:rPr>
          <w:rFonts w:ascii="Arial" w:hAnsi="Arial" w:cs="Arial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</w:t>
      </w:r>
      <w:r w:rsidR="00E94EB0" w:rsidRPr="004A322C">
        <w:rPr>
          <w:rFonts w:ascii="Arial" w:hAnsi="Arial" w:cs="Arial"/>
        </w:rPr>
        <w:t>показателям автомобильных дорог».</w:t>
      </w:r>
    </w:p>
    <w:p w:rsidR="0077602C" w:rsidRPr="004A322C" w:rsidRDefault="005F58B1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A322C">
        <w:rPr>
          <w:rFonts w:ascii="Arial" w:hAnsi="Arial" w:cs="Arial"/>
          <w:sz w:val="24"/>
          <w:szCs w:val="24"/>
        </w:rPr>
        <w:t>2</w:t>
      </w:r>
      <w:r w:rsidR="00A360CC" w:rsidRPr="004A322C">
        <w:rPr>
          <w:rFonts w:ascii="Arial" w:hAnsi="Arial" w:cs="Arial"/>
          <w:sz w:val="24"/>
          <w:szCs w:val="24"/>
        </w:rPr>
        <w:t>.</w:t>
      </w:r>
      <w:r w:rsidR="0077602C" w:rsidRPr="004A322C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="00E94EB0" w:rsidRPr="004A322C">
        <w:rPr>
          <w:rFonts w:ascii="Arial" w:hAnsi="Arial" w:cs="Arial"/>
          <w:sz w:val="24"/>
          <w:szCs w:val="24"/>
        </w:rPr>
        <w:t xml:space="preserve">с момента его подписания. </w:t>
      </w:r>
    </w:p>
    <w:p w:rsidR="00A360CC" w:rsidRPr="004A322C" w:rsidRDefault="0077602C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22C">
        <w:rPr>
          <w:rFonts w:ascii="Arial" w:hAnsi="Arial" w:cs="Arial"/>
          <w:sz w:val="24"/>
          <w:szCs w:val="24"/>
        </w:rPr>
        <w:t xml:space="preserve">3. </w:t>
      </w:r>
      <w:r w:rsidR="00A360CC" w:rsidRPr="004A322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360CC" w:rsidRPr="004A322C" w:rsidRDefault="00A360CC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0CC" w:rsidRPr="004A322C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A322C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E621D6" w:rsidRPr="004A322C" w:rsidRDefault="00A360CC" w:rsidP="0077602C">
      <w:pPr>
        <w:pStyle w:val="af0"/>
        <w:spacing w:after="0"/>
        <w:jc w:val="both"/>
        <w:rPr>
          <w:rFonts w:ascii="Arial" w:hAnsi="Arial" w:cs="Arial"/>
          <w:sz w:val="24"/>
          <w:szCs w:val="24"/>
        </w:rPr>
      </w:pPr>
      <w:r w:rsidRPr="004A322C">
        <w:rPr>
          <w:rFonts w:ascii="Arial" w:hAnsi="Arial" w:cs="Arial"/>
          <w:b/>
          <w:bCs/>
          <w:sz w:val="24"/>
          <w:szCs w:val="24"/>
        </w:rPr>
        <w:t>сельского поселения                                                                      А.В. Братухин</w:t>
      </w:r>
    </w:p>
    <w:sectPr w:rsidR="00E621D6" w:rsidRPr="004A322C" w:rsidSect="005C4C43">
      <w:type w:val="continuous"/>
      <w:pgSz w:w="11907" w:h="16839" w:code="9"/>
      <w:pgMar w:top="851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29" w:rsidRDefault="006B2329">
      <w:r>
        <w:separator/>
      </w:r>
    </w:p>
  </w:endnote>
  <w:endnote w:type="continuationSeparator" w:id="1">
    <w:p w:rsidR="006B2329" w:rsidRDefault="006B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29" w:rsidRDefault="006B2329">
      <w:r>
        <w:separator/>
      </w:r>
    </w:p>
  </w:footnote>
  <w:footnote w:type="continuationSeparator" w:id="1">
    <w:p w:rsidR="006B2329" w:rsidRDefault="006B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03"/>
    <w:rsid w:val="00000D5E"/>
    <w:rsid w:val="00024735"/>
    <w:rsid w:val="00073CE7"/>
    <w:rsid w:val="000A2502"/>
    <w:rsid w:val="000F3C50"/>
    <w:rsid w:val="00110CB0"/>
    <w:rsid w:val="00111D33"/>
    <w:rsid w:val="00113B68"/>
    <w:rsid w:val="00120305"/>
    <w:rsid w:val="00124012"/>
    <w:rsid w:val="001622DD"/>
    <w:rsid w:val="00164CAF"/>
    <w:rsid w:val="001A227E"/>
    <w:rsid w:val="001B5558"/>
    <w:rsid w:val="001F655A"/>
    <w:rsid w:val="00206E33"/>
    <w:rsid w:val="002100E8"/>
    <w:rsid w:val="002518B2"/>
    <w:rsid w:val="00280D48"/>
    <w:rsid w:val="00296E8B"/>
    <w:rsid w:val="002C42D9"/>
    <w:rsid w:val="002C76B5"/>
    <w:rsid w:val="002D59CE"/>
    <w:rsid w:val="003422BC"/>
    <w:rsid w:val="00367C8A"/>
    <w:rsid w:val="00382DD2"/>
    <w:rsid w:val="003B7062"/>
    <w:rsid w:val="0040562B"/>
    <w:rsid w:val="0044207C"/>
    <w:rsid w:val="00442504"/>
    <w:rsid w:val="004517C7"/>
    <w:rsid w:val="00455001"/>
    <w:rsid w:val="00457D3D"/>
    <w:rsid w:val="00462194"/>
    <w:rsid w:val="0047775B"/>
    <w:rsid w:val="004A322C"/>
    <w:rsid w:val="004F4052"/>
    <w:rsid w:val="004F43F7"/>
    <w:rsid w:val="004F5764"/>
    <w:rsid w:val="004F6120"/>
    <w:rsid w:val="005422EC"/>
    <w:rsid w:val="00572352"/>
    <w:rsid w:val="005A22D1"/>
    <w:rsid w:val="005B0C0E"/>
    <w:rsid w:val="005C4C43"/>
    <w:rsid w:val="005E1F34"/>
    <w:rsid w:val="005F433C"/>
    <w:rsid w:val="005F58B1"/>
    <w:rsid w:val="006441DD"/>
    <w:rsid w:val="006562DB"/>
    <w:rsid w:val="006B2329"/>
    <w:rsid w:val="006C3403"/>
    <w:rsid w:val="006E5BE5"/>
    <w:rsid w:val="00727D8C"/>
    <w:rsid w:val="00754F38"/>
    <w:rsid w:val="0077602C"/>
    <w:rsid w:val="007C588E"/>
    <w:rsid w:val="007E79E2"/>
    <w:rsid w:val="00803257"/>
    <w:rsid w:val="008479E7"/>
    <w:rsid w:val="008A77C8"/>
    <w:rsid w:val="008A7AED"/>
    <w:rsid w:val="008D24F3"/>
    <w:rsid w:val="008E2AC3"/>
    <w:rsid w:val="008E3772"/>
    <w:rsid w:val="008F2D57"/>
    <w:rsid w:val="009105D4"/>
    <w:rsid w:val="00955841"/>
    <w:rsid w:val="00967145"/>
    <w:rsid w:val="00985903"/>
    <w:rsid w:val="009A33BB"/>
    <w:rsid w:val="009C1518"/>
    <w:rsid w:val="00A360CC"/>
    <w:rsid w:val="00A5676F"/>
    <w:rsid w:val="00A568A5"/>
    <w:rsid w:val="00A75AA6"/>
    <w:rsid w:val="00A90706"/>
    <w:rsid w:val="00A93852"/>
    <w:rsid w:val="00AA4264"/>
    <w:rsid w:val="00AF039D"/>
    <w:rsid w:val="00B0334B"/>
    <w:rsid w:val="00B85E90"/>
    <w:rsid w:val="00B97083"/>
    <w:rsid w:val="00BA3DC2"/>
    <w:rsid w:val="00BA717D"/>
    <w:rsid w:val="00BC24F3"/>
    <w:rsid w:val="00BE74F3"/>
    <w:rsid w:val="00BF4F46"/>
    <w:rsid w:val="00C021FE"/>
    <w:rsid w:val="00C06C46"/>
    <w:rsid w:val="00C10D49"/>
    <w:rsid w:val="00C655CF"/>
    <w:rsid w:val="00C76FC8"/>
    <w:rsid w:val="00C770AA"/>
    <w:rsid w:val="00C84513"/>
    <w:rsid w:val="00C84F6B"/>
    <w:rsid w:val="00CA6AA9"/>
    <w:rsid w:val="00CD0A61"/>
    <w:rsid w:val="00D019F0"/>
    <w:rsid w:val="00D1471D"/>
    <w:rsid w:val="00D41228"/>
    <w:rsid w:val="00D67C8C"/>
    <w:rsid w:val="00D82FC6"/>
    <w:rsid w:val="00D94C28"/>
    <w:rsid w:val="00E03F81"/>
    <w:rsid w:val="00E11BCC"/>
    <w:rsid w:val="00E23D88"/>
    <w:rsid w:val="00E621D6"/>
    <w:rsid w:val="00E71F02"/>
    <w:rsid w:val="00E85511"/>
    <w:rsid w:val="00E94EB0"/>
    <w:rsid w:val="00EB4BB3"/>
    <w:rsid w:val="00F0115B"/>
    <w:rsid w:val="00F02037"/>
    <w:rsid w:val="00F37CA0"/>
    <w:rsid w:val="00F637EF"/>
    <w:rsid w:val="00FC1965"/>
    <w:rsid w:val="00FC3350"/>
    <w:rsid w:val="00FD0EFB"/>
    <w:rsid w:val="00FF1873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360C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165B-3440-4B7B-A370-07E7ABAF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1</cp:lastModifiedBy>
  <cp:revision>9</cp:revision>
  <cp:lastPrinted>2016-12-28T09:28:00Z</cp:lastPrinted>
  <dcterms:created xsi:type="dcterms:W3CDTF">2016-11-21T05:53:00Z</dcterms:created>
  <dcterms:modified xsi:type="dcterms:W3CDTF">2016-12-28T09:28:00Z</dcterms:modified>
</cp:coreProperties>
</file>